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57A65" w14:textId="1932A506" w:rsidR="00607F29" w:rsidRPr="006D56A8" w:rsidRDefault="00607F29" w:rsidP="006D56A8">
      <w:pPr>
        <w:pStyle w:val="Heading1"/>
        <w:jc w:val="center"/>
        <w:rPr>
          <w:sz w:val="36"/>
          <w:szCs w:val="36"/>
        </w:rPr>
      </w:pPr>
      <w:r w:rsidRPr="006D56A8">
        <w:rPr>
          <w:sz w:val="36"/>
          <w:szCs w:val="36"/>
        </w:rPr>
        <w:t xml:space="preserve">Inox </w:t>
      </w:r>
      <w:r w:rsidRPr="0062799D">
        <w:rPr>
          <w:sz w:val="36"/>
          <w:szCs w:val="36"/>
        </w:rPr>
        <w:t>Clean Energy Completes</w:t>
      </w:r>
      <w:r w:rsidR="00654839" w:rsidRPr="0062799D">
        <w:rPr>
          <w:sz w:val="36"/>
          <w:szCs w:val="36"/>
        </w:rPr>
        <w:t xml:space="preserve"> ~ </w:t>
      </w:r>
      <w:r w:rsidRPr="0062799D">
        <w:rPr>
          <w:sz w:val="36"/>
          <w:szCs w:val="36"/>
        </w:rPr>
        <w:t xml:space="preserve">₹6,000 Crore Acquisition of </w:t>
      </w:r>
      <w:r w:rsidR="0062799D" w:rsidRPr="0062799D">
        <w:rPr>
          <w:sz w:val="36"/>
          <w:szCs w:val="36"/>
        </w:rPr>
        <w:t xml:space="preserve">BlackRock-owned GIP's </w:t>
      </w:r>
      <w:r w:rsidRPr="0062799D">
        <w:rPr>
          <w:sz w:val="36"/>
          <w:szCs w:val="36"/>
        </w:rPr>
        <w:t>Vena Energy India</w:t>
      </w:r>
    </w:p>
    <w:p w14:paraId="3B354DA2" w14:textId="742B7621" w:rsidR="00607F29" w:rsidRPr="006D56A8" w:rsidRDefault="00607F29" w:rsidP="00607F29">
      <w:pPr>
        <w:pStyle w:val="Heading3"/>
        <w:rPr>
          <w:sz w:val="24"/>
          <w:szCs w:val="24"/>
        </w:rPr>
      </w:pPr>
      <w:r w:rsidRPr="006D56A8">
        <w:rPr>
          <w:sz w:val="24"/>
          <w:szCs w:val="24"/>
        </w:rPr>
        <w:t xml:space="preserve">~ One of the fastest signing-to-closing transactions, completed </w:t>
      </w:r>
      <w:r w:rsidR="000A2F28">
        <w:rPr>
          <w:sz w:val="24"/>
          <w:szCs w:val="24"/>
        </w:rPr>
        <w:t>within two months</w:t>
      </w:r>
    </w:p>
    <w:p w14:paraId="06F00AA2" w14:textId="06893D0B" w:rsidR="00607F29" w:rsidRPr="006D56A8" w:rsidRDefault="00607F29" w:rsidP="00607F29">
      <w:pPr>
        <w:pStyle w:val="Heading3"/>
        <w:rPr>
          <w:sz w:val="24"/>
          <w:szCs w:val="24"/>
        </w:rPr>
      </w:pPr>
      <w:r w:rsidRPr="006D56A8">
        <w:rPr>
          <w:sz w:val="24"/>
          <w:szCs w:val="24"/>
        </w:rPr>
        <w:t xml:space="preserve">~ </w:t>
      </w:r>
      <w:r w:rsidR="00FA57C8">
        <w:rPr>
          <w:sz w:val="24"/>
          <w:szCs w:val="24"/>
        </w:rPr>
        <w:t xml:space="preserve">The </w:t>
      </w:r>
      <w:r w:rsidRPr="006D56A8">
        <w:rPr>
          <w:sz w:val="24"/>
          <w:szCs w:val="24"/>
        </w:rPr>
        <w:t xml:space="preserve">₹6,000 crore transaction value secured through </w:t>
      </w:r>
      <w:r w:rsidR="00FA57C8">
        <w:rPr>
          <w:sz w:val="24"/>
          <w:szCs w:val="24"/>
        </w:rPr>
        <w:t xml:space="preserve">internal equity and </w:t>
      </w:r>
      <w:r w:rsidRPr="006D56A8">
        <w:rPr>
          <w:sz w:val="24"/>
          <w:szCs w:val="24"/>
        </w:rPr>
        <w:t>refinancing</w:t>
      </w:r>
    </w:p>
    <w:p w14:paraId="41D4A6F8" w14:textId="4E6CAC3D" w:rsidR="00607F29" w:rsidRPr="006D56A8" w:rsidRDefault="00607F29" w:rsidP="00607F29">
      <w:pPr>
        <w:pStyle w:val="Heading3"/>
        <w:rPr>
          <w:sz w:val="24"/>
          <w:szCs w:val="24"/>
        </w:rPr>
      </w:pPr>
      <w:r w:rsidRPr="006D56A8">
        <w:rPr>
          <w:sz w:val="24"/>
          <w:szCs w:val="24"/>
        </w:rPr>
        <w:t xml:space="preserve">~ Acquisition includes </w:t>
      </w:r>
      <w:r w:rsidR="006D56A8" w:rsidRPr="006D56A8">
        <w:rPr>
          <w:sz w:val="24"/>
          <w:szCs w:val="24"/>
        </w:rPr>
        <w:t xml:space="preserve">transition of </w:t>
      </w:r>
      <w:r w:rsidRPr="006D56A8">
        <w:rPr>
          <w:sz w:val="24"/>
          <w:szCs w:val="24"/>
        </w:rPr>
        <w:t xml:space="preserve">Vena Energy India’s entire </w:t>
      </w:r>
      <w:r w:rsidR="006D56A8" w:rsidRPr="006D56A8">
        <w:rPr>
          <w:sz w:val="24"/>
          <w:szCs w:val="24"/>
        </w:rPr>
        <w:t>management</w:t>
      </w:r>
    </w:p>
    <w:p w14:paraId="161641D3" w14:textId="4BDAA9A6" w:rsidR="00607F29" w:rsidRPr="006D56A8" w:rsidRDefault="00607F29" w:rsidP="00607F29">
      <w:pPr>
        <w:pStyle w:val="NormalWeb"/>
      </w:pPr>
      <w:r w:rsidRPr="006D56A8">
        <w:rPr>
          <w:rStyle w:val="Strong"/>
        </w:rPr>
        <w:t xml:space="preserve">Noida, </w:t>
      </w:r>
      <w:r w:rsidR="006F3EFA">
        <w:rPr>
          <w:rStyle w:val="Strong"/>
        </w:rPr>
        <w:t>18</w:t>
      </w:r>
      <w:r w:rsidR="0062799D" w:rsidRPr="0062799D">
        <w:rPr>
          <w:rStyle w:val="Strong"/>
          <w:vertAlign w:val="superscript"/>
        </w:rPr>
        <w:t>th</w:t>
      </w:r>
      <w:r w:rsidR="0062799D">
        <w:rPr>
          <w:rStyle w:val="Strong"/>
        </w:rPr>
        <w:t xml:space="preserve"> </w:t>
      </w:r>
      <w:r w:rsidRPr="006D56A8">
        <w:rPr>
          <w:rStyle w:val="Strong"/>
        </w:rPr>
        <w:t>August 2026:</w:t>
      </w:r>
      <w:r w:rsidRPr="006D56A8">
        <w:t xml:space="preserve"> Inox Clean Energy Limited (“Inox Clean”), part of the INOXGFL Group, today announced the successful completion of its acquisition of </w:t>
      </w:r>
      <w:r w:rsidR="0062799D">
        <w:t xml:space="preserve">BlackRock-owned GIP's </w:t>
      </w:r>
      <w:r w:rsidRPr="00713669">
        <w:rPr>
          <w:rStyle w:val="Strong"/>
          <w:b w:val="0"/>
          <w:bCs w:val="0"/>
        </w:rPr>
        <w:t>Vena Energy India Holdings Pte Ltd</w:t>
      </w:r>
      <w:r w:rsidRPr="00713669">
        <w:rPr>
          <w:b/>
          <w:bCs/>
        </w:rPr>
        <w:t xml:space="preserve">, </w:t>
      </w:r>
      <w:r w:rsidRPr="006D56A8">
        <w:t xml:space="preserve">Vena Group’s India renewable energy platform, for a total transaction value of approximately </w:t>
      </w:r>
      <w:r w:rsidRPr="00FA57C8">
        <w:rPr>
          <w:rStyle w:val="Strong"/>
          <w:b w:val="0"/>
          <w:bCs w:val="0"/>
        </w:rPr>
        <w:t>₹6,000 crore</w:t>
      </w:r>
      <w:r w:rsidRPr="00FA57C8">
        <w:rPr>
          <w:b/>
          <w:bCs/>
        </w:rPr>
        <w:t>.</w:t>
      </w:r>
    </w:p>
    <w:p w14:paraId="6EE80B4C" w14:textId="53E23AF9" w:rsidR="00607F29" w:rsidRPr="006D56A8" w:rsidRDefault="00607F29" w:rsidP="00607F29">
      <w:pPr>
        <w:pStyle w:val="NormalWeb"/>
      </w:pPr>
      <w:r w:rsidRPr="006D56A8">
        <w:t>The transaction represents one of the fastest signing-to-execution deals in the renewable energy sector, having been completed within</w:t>
      </w:r>
      <w:r w:rsidR="007520A8">
        <w:rPr>
          <w:rStyle w:val="Strong"/>
        </w:rPr>
        <w:t xml:space="preserve"> </w:t>
      </w:r>
      <w:r w:rsidR="007520A8" w:rsidRPr="005D556C">
        <w:rPr>
          <w:rStyle w:val="Strong"/>
          <w:b w:val="0"/>
          <w:bCs w:val="0"/>
        </w:rPr>
        <w:t>two months</w:t>
      </w:r>
      <w:r w:rsidRPr="005D556C">
        <w:t>,</w:t>
      </w:r>
      <w:r w:rsidRPr="006D56A8">
        <w:t xml:space="preserve"> despite involving multiple stakeholders and financing partners. The entire transaction value has been secured </w:t>
      </w:r>
      <w:r w:rsidRPr="005D556C">
        <w:t>through</w:t>
      </w:r>
      <w:r w:rsidR="006F5564" w:rsidRPr="005D556C">
        <w:t xml:space="preserve"> </w:t>
      </w:r>
      <w:r w:rsidR="006D289D" w:rsidRPr="005D556C">
        <w:t xml:space="preserve">internal equity and </w:t>
      </w:r>
      <w:r w:rsidRPr="005D556C">
        <w:rPr>
          <w:rStyle w:val="Strong"/>
          <w:b w:val="0"/>
          <w:bCs w:val="0"/>
        </w:rPr>
        <w:t>refinancing</w:t>
      </w:r>
      <w:r w:rsidRPr="005D556C">
        <w:t>,</w:t>
      </w:r>
      <w:r w:rsidRPr="006D56A8">
        <w:t xml:space="preserve"> highlighting Inox </w:t>
      </w:r>
      <w:proofErr w:type="spellStart"/>
      <w:r w:rsidRPr="006D56A8">
        <w:t>Clean’s</w:t>
      </w:r>
      <w:proofErr w:type="spellEnd"/>
      <w:r w:rsidRPr="006D56A8">
        <w:t xml:space="preserve"> strong financing capabilities and ability to execute complex transactions at speed.</w:t>
      </w:r>
    </w:p>
    <w:p w14:paraId="57066608" w14:textId="6F30E3BE" w:rsidR="00607F29" w:rsidRPr="006D56A8" w:rsidRDefault="00607F29" w:rsidP="00607F29">
      <w:pPr>
        <w:pStyle w:val="NormalWeb"/>
      </w:pPr>
      <w:r w:rsidRPr="006D56A8">
        <w:t xml:space="preserve">The acquisition includes </w:t>
      </w:r>
      <w:r w:rsidR="00690A1C" w:rsidRPr="006D56A8">
        <w:t xml:space="preserve">transition of </w:t>
      </w:r>
      <w:r w:rsidRPr="006D56A8">
        <w:t xml:space="preserve">Vena Energy India’s </w:t>
      </w:r>
      <w:r w:rsidR="00690A1C" w:rsidRPr="006D56A8">
        <w:t xml:space="preserve">management, </w:t>
      </w:r>
      <w:r w:rsidRPr="006D56A8">
        <w:t>ensuring continuity across development, commercial, technical and operational functions and enabling a seamless transition of the platform.</w:t>
      </w:r>
    </w:p>
    <w:p w14:paraId="2B8531D3" w14:textId="5FD50382" w:rsidR="00607F29" w:rsidRPr="006D56A8" w:rsidRDefault="00607F29" w:rsidP="00607F29">
      <w:pPr>
        <w:pStyle w:val="NormalWeb"/>
      </w:pPr>
      <w:r w:rsidRPr="006D56A8">
        <w:t>Vena Energy India</w:t>
      </w:r>
      <w:r w:rsidR="00126F27">
        <w:t xml:space="preserve">’s renewable portfolio </w:t>
      </w:r>
      <w:r w:rsidRPr="006D56A8">
        <w:t xml:space="preserve">comprises approximately </w:t>
      </w:r>
      <w:r w:rsidRPr="0009138D">
        <w:rPr>
          <w:rStyle w:val="Strong"/>
          <w:b w:val="0"/>
          <w:bCs w:val="0"/>
        </w:rPr>
        <w:t>1 GW of operational capacity</w:t>
      </w:r>
      <w:r w:rsidRPr="006D56A8">
        <w:t xml:space="preserve">, 1.7 GW of solar and wind and 1.2 GWh of BESS assets at advanced stages, along with an additional 2.7 GW of solar and wind and 1.3 GWh of BESS development pipeline. Following completion, Inox </w:t>
      </w:r>
      <w:proofErr w:type="spellStart"/>
      <w:r w:rsidRPr="006D56A8">
        <w:t>Clean’s</w:t>
      </w:r>
      <w:proofErr w:type="spellEnd"/>
      <w:r w:rsidRPr="006D56A8">
        <w:t xml:space="preserve"> operating and near-operational portfolio is expected to reach approximately </w:t>
      </w:r>
      <w:r w:rsidRPr="0009138D">
        <w:rPr>
          <w:rStyle w:val="Strong"/>
          <w:b w:val="0"/>
          <w:bCs w:val="0"/>
        </w:rPr>
        <w:t>4 GW</w:t>
      </w:r>
      <w:r w:rsidR="0009138D">
        <w:t xml:space="preserve">, </w:t>
      </w:r>
      <w:r w:rsidRPr="006D56A8">
        <w:t xml:space="preserve">with a development pipeline exceeding </w:t>
      </w:r>
      <w:r w:rsidRPr="0009138D">
        <w:rPr>
          <w:rStyle w:val="Strong"/>
          <w:b w:val="0"/>
          <w:bCs w:val="0"/>
        </w:rPr>
        <w:t>12 GW of solar and wind and 2.5 GWh of BESS</w:t>
      </w:r>
      <w:r w:rsidRPr="0009138D">
        <w:rPr>
          <w:b/>
          <w:bCs/>
        </w:rPr>
        <w:t>.</w:t>
      </w:r>
    </w:p>
    <w:p w14:paraId="2FD53B3A" w14:textId="77777777" w:rsidR="00607F29" w:rsidRPr="006D56A8" w:rsidRDefault="00607F29" w:rsidP="00607F29">
      <w:pPr>
        <w:pStyle w:val="NormalWeb"/>
      </w:pPr>
      <w:r w:rsidRPr="006D56A8">
        <w:t xml:space="preserve">The successful closure further reinforces Inox </w:t>
      </w:r>
      <w:proofErr w:type="spellStart"/>
      <w:r w:rsidRPr="006D56A8">
        <w:t>Clean’s</w:t>
      </w:r>
      <w:proofErr w:type="spellEnd"/>
      <w:r w:rsidRPr="006D56A8">
        <w:t xml:space="preserve"> track record of executing strategic acquisitions with speed and certainty, as it continues to pursue growth opportunities across the renewable energy value chain.</w:t>
      </w:r>
    </w:p>
    <w:p w14:paraId="7581F6F3" w14:textId="354C00E6" w:rsidR="003D31A8" w:rsidRPr="003D31A8" w:rsidRDefault="00FA57C8" w:rsidP="003D31A8">
      <w:pPr>
        <w:spacing w:before="100" w:beforeAutospacing="1" w:after="100" w:afterAutospacing="1" w:line="240" w:lineRule="auto"/>
        <w:rPr>
          <w:rFonts w:ascii="Times New Roman" w:eastAsia="Times New Roman" w:hAnsi="Times New Roman" w:cs="Times New Roman"/>
          <w:sz w:val="24"/>
          <w:szCs w:val="24"/>
          <w:lang w:eastAsia="en-IN"/>
        </w:rPr>
      </w:pPr>
      <w:r w:rsidRPr="00FA57C8">
        <w:rPr>
          <w:rFonts w:ascii="Times New Roman" w:eastAsia="Times New Roman" w:hAnsi="Times New Roman" w:cs="Times New Roman"/>
          <w:sz w:val="24"/>
          <w:szCs w:val="24"/>
          <w:lang w:eastAsia="en-IN"/>
        </w:rPr>
        <w:t>Commenting on the deal completion</w:t>
      </w:r>
      <w:r>
        <w:rPr>
          <w:rFonts w:ascii="Times New Roman" w:eastAsia="Times New Roman" w:hAnsi="Times New Roman" w:cs="Times New Roman"/>
          <w:sz w:val="24"/>
          <w:szCs w:val="24"/>
          <w:lang w:eastAsia="en-IN"/>
        </w:rPr>
        <w:t>,</w:t>
      </w:r>
      <w:r>
        <w:rPr>
          <w:rStyle w:val="Strong"/>
          <w:b w:val="0"/>
          <w:bCs w:val="0"/>
        </w:rPr>
        <w:t xml:space="preserve"> </w:t>
      </w:r>
      <w:r w:rsidR="003D31A8" w:rsidRPr="003D31A8">
        <w:rPr>
          <w:rFonts w:ascii="Times New Roman" w:eastAsia="Times New Roman" w:hAnsi="Times New Roman" w:cs="Times New Roman"/>
          <w:b/>
          <w:bCs/>
          <w:sz w:val="24"/>
          <w:szCs w:val="24"/>
          <w:lang w:eastAsia="en-IN"/>
        </w:rPr>
        <w:t xml:space="preserve">Mr Devansh Jain, Executive Director, INOXGFL Group, </w:t>
      </w:r>
      <w:r w:rsidRPr="00FA57C8">
        <w:rPr>
          <w:rFonts w:ascii="Times New Roman" w:eastAsia="Times New Roman" w:hAnsi="Times New Roman" w:cs="Times New Roman"/>
          <w:sz w:val="24"/>
          <w:szCs w:val="24"/>
          <w:lang w:eastAsia="en-IN"/>
        </w:rPr>
        <w:t xml:space="preserve">said, </w:t>
      </w:r>
      <w:r w:rsidR="003D31A8" w:rsidRPr="003D31A8">
        <w:rPr>
          <w:rFonts w:ascii="Times New Roman" w:eastAsia="Times New Roman" w:hAnsi="Times New Roman" w:cs="Times New Roman"/>
          <w:sz w:val="24"/>
          <w:szCs w:val="24"/>
          <w:lang w:eastAsia="en-IN"/>
        </w:rPr>
        <w:t>"The successful completion of the Vena Energy India acquisition, and the speed with which we have closed this transaction, demonstrates our fast execution capabilities, which we believe is a key USP and gives us an edge over competition. Backed by over 20 years of leadership in renewables, a track record that is irreplaceable, we have built deep expertise and conviction in this sector. From signing to closing, we have demonstrated that once we identify the right opportunity, we move with speed, determination and purpose. This transaction reflects how seriously we approach our acquisitions and our ability to execute at scale. As we continue to pursue growth opportunities across the energy transition landscape, this execution capability will remain a key differentiator for us."</w:t>
      </w:r>
    </w:p>
    <w:p w14:paraId="15EBBF91" w14:textId="5A2AD02C" w:rsidR="003D31A8" w:rsidRPr="003D31A8" w:rsidRDefault="00FA57C8" w:rsidP="003D31A8">
      <w:pPr>
        <w:spacing w:before="100" w:beforeAutospacing="1" w:after="100" w:afterAutospacing="1" w:line="240" w:lineRule="auto"/>
        <w:rPr>
          <w:rFonts w:ascii="Times New Roman" w:eastAsia="Times New Roman" w:hAnsi="Times New Roman" w:cs="Times New Roman"/>
          <w:sz w:val="24"/>
          <w:szCs w:val="24"/>
          <w:lang w:eastAsia="en-IN"/>
        </w:rPr>
      </w:pPr>
      <w:r w:rsidRPr="00FA57C8">
        <w:rPr>
          <w:rFonts w:ascii="Times New Roman" w:eastAsia="Times New Roman" w:hAnsi="Times New Roman" w:cs="Times New Roman"/>
          <w:sz w:val="24"/>
          <w:szCs w:val="24"/>
          <w:lang w:eastAsia="en-IN"/>
        </w:rPr>
        <w:t>Speaking on the occasion,</w:t>
      </w:r>
      <w:r>
        <w:rPr>
          <w:rFonts w:ascii="Times New Roman" w:eastAsia="Times New Roman" w:hAnsi="Times New Roman" w:cs="Times New Roman"/>
          <w:b/>
          <w:bCs/>
          <w:sz w:val="24"/>
          <w:szCs w:val="24"/>
          <w:lang w:eastAsia="en-IN"/>
        </w:rPr>
        <w:t xml:space="preserve"> </w:t>
      </w:r>
      <w:r w:rsidR="003D31A8" w:rsidRPr="003D31A8">
        <w:rPr>
          <w:rFonts w:ascii="Times New Roman" w:eastAsia="Times New Roman" w:hAnsi="Times New Roman" w:cs="Times New Roman"/>
          <w:b/>
          <w:bCs/>
          <w:sz w:val="24"/>
          <w:szCs w:val="24"/>
          <w:lang w:eastAsia="en-IN"/>
        </w:rPr>
        <w:t xml:space="preserve">Mr Akhil Jindal, Group CFO, INOXGFL Group, </w:t>
      </w:r>
      <w:r>
        <w:rPr>
          <w:rFonts w:ascii="Times New Roman" w:eastAsia="Times New Roman" w:hAnsi="Times New Roman" w:cs="Times New Roman"/>
          <w:sz w:val="24"/>
          <w:szCs w:val="24"/>
          <w:lang w:eastAsia="en-IN"/>
        </w:rPr>
        <w:t xml:space="preserve">said, </w:t>
      </w:r>
      <w:r w:rsidR="003D31A8" w:rsidRPr="003D31A8">
        <w:rPr>
          <w:rFonts w:ascii="Times New Roman" w:eastAsia="Times New Roman" w:hAnsi="Times New Roman" w:cs="Times New Roman"/>
          <w:sz w:val="24"/>
          <w:szCs w:val="24"/>
          <w:lang w:eastAsia="en-IN"/>
        </w:rPr>
        <w:t>"</w:t>
      </w:r>
      <w:r w:rsidRPr="00FA57C8">
        <w:rPr>
          <w:rFonts w:ascii="Times New Roman" w:eastAsia="Times New Roman" w:hAnsi="Times New Roman" w:cs="Times New Roman"/>
          <w:sz w:val="24"/>
          <w:szCs w:val="24"/>
          <w:lang w:eastAsia="en-IN"/>
        </w:rPr>
        <w:t>The completion of this</w:t>
      </w:r>
      <w:r w:rsidR="002B4AB0">
        <w:rPr>
          <w:rFonts w:ascii="Times New Roman" w:eastAsia="Times New Roman" w:hAnsi="Times New Roman" w:cs="Times New Roman"/>
          <w:sz w:val="24"/>
          <w:szCs w:val="24"/>
          <w:lang w:eastAsia="en-IN"/>
        </w:rPr>
        <w:t xml:space="preserve"> ~</w:t>
      </w:r>
      <w:r w:rsidRPr="00FA57C8">
        <w:rPr>
          <w:rFonts w:ascii="Times New Roman" w:eastAsia="Times New Roman" w:hAnsi="Times New Roman" w:cs="Times New Roman"/>
          <w:sz w:val="24"/>
          <w:szCs w:val="24"/>
          <w:lang w:eastAsia="en-IN"/>
        </w:rPr>
        <w:t>₹6,000 crore transaction in</w:t>
      </w:r>
      <w:r w:rsidR="007520A8">
        <w:rPr>
          <w:rFonts w:ascii="Times New Roman" w:eastAsia="Times New Roman" w:hAnsi="Times New Roman" w:cs="Times New Roman"/>
          <w:sz w:val="24"/>
          <w:szCs w:val="24"/>
          <w:lang w:eastAsia="en-IN"/>
        </w:rPr>
        <w:t xml:space="preserve"> under two months</w:t>
      </w:r>
      <w:r w:rsidRPr="00FA57C8">
        <w:rPr>
          <w:rFonts w:ascii="Times New Roman" w:eastAsia="Times New Roman" w:hAnsi="Times New Roman" w:cs="Times New Roman"/>
          <w:sz w:val="24"/>
          <w:szCs w:val="24"/>
          <w:lang w:eastAsia="en-IN"/>
        </w:rPr>
        <w:t xml:space="preserve">, despite the involvement of multiple stakeholders and financing partners, is a remarkable achievement and among the </w:t>
      </w:r>
      <w:r w:rsidRPr="00FA57C8">
        <w:rPr>
          <w:rFonts w:ascii="Times New Roman" w:eastAsia="Times New Roman" w:hAnsi="Times New Roman" w:cs="Times New Roman"/>
          <w:sz w:val="24"/>
          <w:szCs w:val="24"/>
          <w:lang w:eastAsia="en-IN"/>
        </w:rPr>
        <w:lastRenderedPageBreak/>
        <w:t>fastest closures for a transaction of this scale in the industry. It demonstrates the financial strength, institutional capabilities and execution focus that Inox Clean brings to every strategic opportunity. With its ability to combine speed with scale and disciplined execution, Inox Clean is revolutionising the renewable energy space and setting a new benchmark for how the industry can build and execute growth</w:t>
      </w:r>
      <w:r>
        <w:rPr>
          <w:rFonts w:ascii="Times New Roman" w:eastAsia="Times New Roman" w:hAnsi="Times New Roman" w:cs="Times New Roman"/>
          <w:sz w:val="24"/>
          <w:szCs w:val="24"/>
          <w:lang w:eastAsia="en-IN"/>
        </w:rPr>
        <w:t>.</w:t>
      </w:r>
      <w:r w:rsidR="003D31A8" w:rsidRPr="003D31A8">
        <w:rPr>
          <w:rFonts w:ascii="Times New Roman" w:eastAsia="Times New Roman" w:hAnsi="Times New Roman" w:cs="Times New Roman"/>
          <w:sz w:val="24"/>
          <w:szCs w:val="24"/>
          <w:lang w:eastAsia="en-IN"/>
        </w:rPr>
        <w:t>"</w:t>
      </w:r>
    </w:p>
    <w:p w14:paraId="0C8C7915" w14:textId="77777777" w:rsidR="0009138D" w:rsidRPr="006D56A8" w:rsidRDefault="0009138D" w:rsidP="00691C8F">
      <w:pPr>
        <w:spacing w:before="100" w:beforeAutospacing="1" w:after="100" w:afterAutospacing="1"/>
        <w:rPr>
          <w:rFonts w:ascii="Times New Roman" w:hAnsi="Times New Roman"/>
          <w:sz w:val="24"/>
          <w:szCs w:val="24"/>
          <w:lang w:val="en-SG"/>
        </w:rPr>
      </w:pPr>
    </w:p>
    <w:p w14:paraId="4015C941" w14:textId="77777777" w:rsidR="006D56A8" w:rsidRPr="006D56A8" w:rsidRDefault="006D56A8" w:rsidP="006D56A8">
      <w:pPr>
        <w:spacing w:before="100" w:beforeAutospacing="1" w:after="100" w:afterAutospacing="1"/>
        <w:rPr>
          <w:rFonts w:ascii="Times New Roman" w:hAnsi="Times New Roman"/>
          <w:b/>
          <w:sz w:val="24"/>
          <w:szCs w:val="24"/>
          <w:u w:val="single"/>
        </w:rPr>
      </w:pPr>
      <w:r w:rsidRPr="006D56A8">
        <w:rPr>
          <w:rFonts w:ascii="Times New Roman" w:hAnsi="Times New Roman"/>
          <w:b/>
          <w:sz w:val="24"/>
          <w:szCs w:val="24"/>
          <w:u w:val="single"/>
        </w:rPr>
        <w:t>About Inox Clean Energy Limited</w:t>
      </w:r>
    </w:p>
    <w:p w14:paraId="1ED6A4FF" w14:textId="77777777" w:rsidR="006D56A8" w:rsidRPr="006D56A8" w:rsidRDefault="006D56A8" w:rsidP="006D56A8">
      <w:pPr>
        <w:spacing w:before="100" w:beforeAutospacing="1" w:after="100" w:afterAutospacing="1"/>
        <w:rPr>
          <w:rFonts w:ascii="Times New Roman" w:hAnsi="Times New Roman" w:cs="Times New Roman"/>
          <w:sz w:val="24"/>
          <w:szCs w:val="24"/>
          <w:lang w:eastAsia="en-IN"/>
        </w:rPr>
      </w:pPr>
      <w:r w:rsidRPr="006D56A8">
        <w:rPr>
          <w:rFonts w:ascii="Times New Roman" w:hAnsi="Times New Roman" w:cs="Times New Roman"/>
          <w:sz w:val="24"/>
          <w:szCs w:val="24"/>
          <w:lang w:eastAsia="en-IN"/>
        </w:rPr>
        <w:t>Inox Clean, the integrated renewable energy platform of the INOXGFL Group, operates across the renewable IPP (Independent Power Producer) business under its subsidiary Inox Neo and the solar manufacturing business under its subsidiary Inox Solar Limited. Rapidly expanding across the verticals through greenfield and inorganic routes, Inox Clean targets 10 GW of installed RE IPP capacity and 11 GW of integrated solar manufacturing capacity by FY28, with assets spread across India and multiple key global geographies including the US and Africa. Combining the core strength of its robust integrated business model along with the synergies and expertise within the INOXGFL Group, Inox Clean is setting new growth benchmarks in the renewable energy space as it scales up its capacities and offerings.</w:t>
      </w:r>
    </w:p>
    <w:p w14:paraId="2B849112" w14:textId="77777777" w:rsidR="006D56A8" w:rsidRPr="006D56A8" w:rsidRDefault="006D56A8" w:rsidP="006D56A8">
      <w:pPr>
        <w:spacing w:before="100" w:beforeAutospacing="1" w:after="100" w:afterAutospacing="1"/>
        <w:rPr>
          <w:rFonts w:ascii="Times New Roman" w:hAnsi="Times New Roman" w:cs="Times New Roman"/>
          <w:sz w:val="24"/>
          <w:szCs w:val="24"/>
          <w:u w:val="single"/>
          <w:lang w:eastAsia="en-IN"/>
        </w:rPr>
      </w:pPr>
      <w:r w:rsidRPr="006D56A8">
        <w:rPr>
          <w:rFonts w:ascii="Times New Roman" w:hAnsi="Times New Roman"/>
          <w:b/>
          <w:sz w:val="24"/>
          <w:szCs w:val="24"/>
          <w:u w:val="single"/>
        </w:rPr>
        <w:t>About INOXGFL Group</w:t>
      </w:r>
    </w:p>
    <w:p w14:paraId="17BE2F7E" w14:textId="77777777" w:rsidR="006D56A8" w:rsidRPr="006D56A8" w:rsidRDefault="006D56A8" w:rsidP="006D56A8">
      <w:pPr>
        <w:spacing w:before="100" w:beforeAutospacing="1" w:after="100" w:afterAutospacing="1"/>
        <w:rPr>
          <w:rFonts w:ascii="Times New Roman" w:hAnsi="Times New Roman" w:cs="Times New Roman"/>
          <w:sz w:val="24"/>
          <w:szCs w:val="24"/>
          <w:lang w:eastAsia="en-IN"/>
        </w:rPr>
      </w:pPr>
      <w:r w:rsidRPr="006D56A8">
        <w:rPr>
          <w:rFonts w:ascii="Times New Roman" w:hAnsi="Times New Roman" w:cs="Times New Roman"/>
          <w:sz w:val="24"/>
          <w:szCs w:val="24"/>
          <w:lang w:eastAsia="en-IN"/>
        </w:rPr>
        <w:t xml:space="preserve">INOXGFL Group, a multi-billion-dollar Indian conglomerate, is a leader in the global energy transition space. With a legacy of over 90 years, the Group’s interests span across chemicals and renewables, with presence in over 75 countries across 5 continents. INOXGFL Group companies are forerunners across diversified business segments, with three listed entities — Gujarat Fluorochemicals Limited (GFL), a global leader in the specialty fluorine chemicals space; Inox Wind Limited (IWL), India’s leading comprehensive wind solutions provider, and Inox Green Energy Services Limited (IGESL), India’s largest listed renewables O&amp;M services provider. On the unlisted front, GFL’s subsidiary — GFCL EV Products Limited (GFCL EV) — is scaling up to become the largest </w:t>
      </w:r>
      <w:proofErr w:type="spellStart"/>
      <w:r w:rsidRPr="006D56A8">
        <w:rPr>
          <w:rFonts w:ascii="Times New Roman" w:hAnsi="Times New Roman" w:cs="Times New Roman"/>
          <w:sz w:val="24"/>
          <w:szCs w:val="24"/>
          <w:lang w:eastAsia="en-IN"/>
        </w:rPr>
        <w:t>non-Chinese</w:t>
      </w:r>
      <w:proofErr w:type="spellEnd"/>
      <w:r w:rsidRPr="006D56A8">
        <w:rPr>
          <w:rFonts w:ascii="Times New Roman" w:hAnsi="Times New Roman" w:cs="Times New Roman"/>
          <w:sz w:val="24"/>
          <w:szCs w:val="24"/>
          <w:lang w:eastAsia="en-IN"/>
        </w:rPr>
        <w:t xml:space="preserve"> integrated advanced battery materials supplier globally, supported by investments from IFC, Washington and OIA, Oman. Further, through Inox Clean Energy Limited (ICEL), the Group is rapidly expanding globally across renewable energy IPP and solar manufacturing verticals. The Group's performance and leadership are reflected in its diverse portfolio of products &amp; services, where several of its companies are setting new growth benchmarks, as well as impactful corporate social responsibility initiatives. With an aim to drive progress and contribute to a greener future, the INOXGFL Group continues to contribute to India’s growth story.</w:t>
      </w:r>
    </w:p>
    <w:p w14:paraId="7630A0FA" w14:textId="77777777" w:rsidR="006D56A8" w:rsidRPr="006D56A8" w:rsidRDefault="006D56A8" w:rsidP="006D56A8">
      <w:pPr>
        <w:spacing w:before="100" w:beforeAutospacing="1" w:after="100" w:afterAutospacing="1"/>
        <w:rPr>
          <w:rFonts w:ascii="Times New Roman" w:hAnsi="Times New Roman" w:cs="Times New Roman"/>
          <w:sz w:val="24"/>
          <w:szCs w:val="24"/>
          <w:lang w:eastAsia="en-IN"/>
        </w:rPr>
      </w:pPr>
    </w:p>
    <w:p w14:paraId="13EE829F" w14:textId="77777777" w:rsidR="006D56A8" w:rsidRPr="006D56A8" w:rsidRDefault="006D56A8" w:rsidP="00691C8F">
      <w:pPr>
        <w:spacing w:before="100" w:beforeAutospacing="1" w:after="100" w:afterAutospacing="1"/>
        <w:rPr>
          <w:rFonts w:ascii="Times New Roman" w:hAnsi="Times New Roman"/>
          <w:sz w:val="24"/>
          <w:szCs w:val="24"/>
          <w:lang w:val="en-SG"/>
        </w:rPr>
      </w:pPr>
    </w:p>
    <w:sectPr w:rsidR="006D56A8" w:rsidRPr="006D56A8" w:rsidSect="00E433EB">
      <w:headerReference w:type="default" r:id="rId6"/>
      <w:footerReference w:type="default" r:id="rId7"/>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7E90B" w14:textId="77777777" w:rsidR="00A364FF" w:rsidRDefault="00A364FF" w:rsidP="001C1B30">
      <w:pPr>
        <w:spacing w:after="0" w:line="240" w:lineRule="auto"/>
      </w:pPr>
      <w:r>
        <w:separator/>
      </w:r>
    </w:p>
  </w:endnote>
  <w:endnote w:type="continuationSeparator" w:id="0">
    <w:p w14:paraId="18866524" w14:textId="77777777" w:rsidR="00A364FF" w:rsidRDefault="00A364FF" w:rsidP="001C1B30">
      <w:pPr>
        <w:spacing w:after="0" w:line="240" w:lineRule="auto"/>
      </w:pPr>
      <w:r>
        <w:continuationSeparator/>
      </w:r>
    </w:p>
  </w:endnote>
  <w:endnote w:type="continuationNotice" w:id="1">
    <w:p w14:paraId="7882D9EA" w14:textId="77777777" w:rsidR="00A364FF" w:rsidRDefault="00A364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C08B" w14:textId="30C05B04" w:rsidR="00126F27" w:rsidRDefault="00126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87B96" w14:textId="77777777" w:rsidR="00A364FF" w:rsidRDefault="00A364FF" w:rsidP="001C1B30">
      <w:pPr>
        <w:spacing w:after="0" w:line="240" w:lineRule="auto"/>
      </w:pPr>
      <w:r>
        <w:separator/>
      </w:r>
    </w:p>
  </w:footnote>
  <w:footnote w:type="continuationSeparator" w:id="0">
    <w:p w14:paraId="0E2BB0E1" w14:textId="77777777" w:rsidR="00A364FF" w:rsidRDefault="00A364FF" w:rsidP="001C1B30">
      <w:pPr>
        <w:spacing w:after="0" w:line="240" w:lineRule="auto"/>
      </w:pPr>
      <w:r>
        <w:continuationSeparator/>
      </w:r>
    </w:p>
  </w:footnote>
  <w:footnote w:type="continuationNotice" w:id="1">
    <w:p w14:paraId="0FEBC056" w14:textId="77777777" w:rsidR="00A364FF" w:rsidRDefault="00A364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91D2" w14:textId="129014B8" w:rsidR="00372645" w:rsidRDefault="00CE35FC" w:rsidP="00FC20C7">
    <w:pPr>
      <w:pStyle w:val="Header"/>
      <w:tabs>
        <w:tab w:val="clear" w:pos="4513"/>
        <w:tab w:val="clear" w:pos="9026"/>
        <w:tab w:val="left" w:pos="7560"/>
      </w:tabs>
      <w:ind w:left="-993"/>
    </w:pPr>
    <w:sdt>
      <w:sdtPr>
        <w:id w:val="1207144675"/>
        <w:docPartObj>
          <w:docPartGallery w:val="Watermarks"/>
          <w:docPartUnique/>
        </w:docPartObj>
      </w:sdtPr>
      <w:sdtEndPr/>
      <w:sdtContent>
        <w:r>
          <w:rPr>
            <w:noProof/>
          </w:rPr>
          <w:pict w14:anchorId="64C1F4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2051" type="#_x0000_t136" alt="{&quot;HashCode&quot;:-664061739,&quot;Height&quot;:841.0,&quot;Width&quot;:595.0,&quot;Placement&quot;:&quot;Header&quot;,&quot;Index&quot;:&quot;Primary&quot;,&quot;Section&quot;:1,&quot;Top&quot;:-999995.0,&quot;Left&quot;:-999995.0}" style="position:absolute;left:0;text-align:left;margin-left:0;margin-top:0;width:431.15pt;height:47.1pt;rotation:315;z-index:-251658752;visibility:hidden;mso-position-horizontal:center;mso-position-horizontal-relative:margin;mso-position-vertical:center;mso-position-vertical-relative:margin" o:allowincell="f" fillcolor="black" stroked="f">
              <v:textpath style="font-family:&quot;Calibri&quot;;font-size:35pt" string="Gujarat Fluorochemicals Ltd."/>
              <w10:wrap anchorx="margin" anchory="margin"/>
            </v:shape>
          </w:pict>
        </w:r>
      </w:sdtContent>
    </w:sdt>
    <w:r w:rsidR="00D93A2A">
      <w:t xml:space="preserve"> </w:t>
    </w:r>
    <w:r w:rsidR="00E433EB">
      <w:t xml:space="preserve">      </w:t>
    </w:r>
    <w:r w:rsidR="00013E74">
      <w:t xml:space="preserve">   </w:t>
    </w:r>
    <w:r w:rsidR="00013E74">
      <w:rPr>
        <w:noProof/>
      </w:rPr>
      <w:drawing>
        <wp:inline distT="0" distB="0" distL="0" distR="0" wp14:anchorId="05D37404" wp14:editId="50BDB1B4">
          <wp:extent cx="1390650" cy="463550"/>
          <wp:effectExtent l="0" t="0" r="0" b="0"/>
          <wp:docPr id="658137764" name="Picture 658137764">
            <a:extLst xmlns:a="http://schemas.openxmlformats.org/drawingml/2006/main">
              <a:ext uri="{FF2B5EF4-FFF2-40B4-BE49-F238E27FC236}">
                <a16:creationId xmlns:a16="http://schemas.microsoft.com/office/drawing/2014/main" id="{E2136D96-F5B0-4F09-874A-5F9CDB3E68BA}"/>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357" cy="466119"/>
                  </a:xfrm>
                  <a:prstGeom prst="rect">
                    <a:avLst/>
                  </a:prstGeom>
                  <a:noFill/>
                  <a:ln>
                    <a:noFill/>
                  </a:ln>
                </pic:spPr>
              </pic:pic>
            </a:graphicData>
          </a:graphic>
        </wp:inline>
      </w:drawing>
    </w:r>
    <w:r w:rsidR="00E433EB">
      <w:t xml:space="preserve">                                                                  </w:t>
    </w:r>
    <w:r w:rsidR="00013E74">
      <w:t xml:space="preserve">            </w:t>
    </w:r>
    <w:r w:rsidR="00691C8F">
      <w:t xml:space="preserve">                             </w:t>
    </w:r>
    <w:r w:rsidR="00013E74">
      <w:t xml:space="preserve">       </w:t>
    </w:r>
    <w:r w:rsidR="00013E74">
      <w:rPr>
        <w:noProof/>
      </w:rPr>
      <w:drawing>
        <wp:inline distT="0" distB="0" distL="0" distR="0" wp14:anchorId="41794390" wp14:editId="78E39993">
          <wp:extent cx="1045554" cy="453390"/>
          <wp:effectExtent l="0" t="0" r="2540" b="3810"/>
          <wp:docPr id="321770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1832" cy="508149"/>
                  </a:xfrm>
                  <a:prstGeom prst="rect">
                    <a:avLst/>
                  </a:prstGeom>
                  <a:noFill/>
                  <a:ln>
                    <a:noFill/>
                  </a:ln>
                </pic:spPr>
              </pic:pic>
            </a:graphicData>
          </a:graphic>
        </wp:inline>
      </w:drawing>
    </w:r>
    <w:r w:rsidR="00013E74" w:rsidDel="00013E74">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C7"/>
    <w:rsid w:val="00000101"/>
    <w:rsid w:val="00002B38"/>
    <w:rsid w:val="00011214"/>
    <w:rsid w:val="00013E74"/>
    <w:rsid w:val="00021C91"/>
    <w:rsid w:val="00034596"/>
    <w:rsid w:val="00054A69"/>
    <w:rsid w:val="000641E6"/>
    <w:rsid w:val="00086858"/>
    <w:rsid w:val="00086D88"/>
    <w:rsid w:val="0008723A"/>
    <w:rsid w:val="0009138D"/>
    <w:rsid w:val="00091686"/>
    <w:rsid w:val="00092C59"/>
    <w:rsid w:val="000A2F28"/>
    <w:rsid w:val="000A32D1"/>
    <w:rsid w:val="000B613E"/>
    <w:rsid w:val="000C0005"/>
    <w:rsid w:val="000C283A"/>
    <w:rsid w:val="000C5A73"/>
    <w:rsid w:val="000D6BF7"/>
    <w:rsid w:val="000D7DDC"/>
    <w:rsid w:val="000E2C50"/>
    <w:rsid w:val="000E493A"/>
    <w:rsid w:val="000E5093"/>
    <w:rsid w:val="000F1689"/>
    <w:rsid w:val="00105A52"/>
    <w:rsid w:val="001067B2"/>
    <w:rsid w:val="0010696B"/>
    <w:rsid w:val="00107C97"/>
    <w:rsid w:val="00110C7A"/>
    <w:rsid w:val="00111DFE"/>
    <w:rsid w:val="00126F27"/>
    <w:rsid w:val="001350A3"/>
    <w:rsid w:val="00141536"/>
    <w:rsid w:val="00144F76"/>
    <w:rsid w:val="00145E4C"/>
    <w:rsid w:val="001558C4"/>
    <w:rsid w:val="00157FAA"/>
    <w:rsid w:val="001603EB"/>
    <w:rsid w:val="00171662"/>
    <w:rsid w:val="001734BC"/>
    <w:rsid w:val="00175986"/>
    <w:rsid w:val="001771BE"/>
    <w:rsid w:val="001946F3"/>
    <w:rsid w:val="001C1B30"/>
    <w:rsid w:val="001C6993"/>
    <w:rsid w:val="001D0131"/>
    <w:rsid w:val="001F5CE7"/>
    <w:rsid w:val="001F7C64"/>
    <w:rsid w:val="00217FA4"/>
    <w:rsid w:val="0023368F"/>
    <w:rsid w:val="002337C8"/>
    <w:rsid w:val="00257FDB"/>
    <w:rsid w:val="002607A2"/>
    <w:rsid w:val="00272D1B"/>
    <w:rsid w:val="0027534A"/>
    <w:rsid w:val="002762AC"/>
    <w:rsid w:val="002809A9"/>
    <w:rsid w:val="00283DDE"/>
    <w:rsid w:val="0028735E"/>
    <w:rsid w:val="00290E16"/>
    <w:rsid w:val="002912CB"/>
    <w:rsid w:val="002B4AB0"/>
    <w:rsid w:val="002B6E5A"/>
    <w:rsid w:val="002E03DF"/>
    <w:rsid w:val="002E7D56"/>
    <w:rsid w:val="002F1844"/>
    <w:rsid w:val="002F79E0"/>
    <w:rsid w:val="00302E1D"/>
    <w:rsid w:val="00303ACB"/>
    <w:rsid w:val="00320E56"/>
    <w:rsid w:val="0032443A"/>
    <w:rsid w:val="00344C23"/>
    <w:rsid w:val="00345BD2"/>
    <w:rsid w:val="00362522"/>
    <w:rsid w:val="0036284B"/>
    <w:rsid w:val="00372645"/>
    <w:rsid w:val="00373DDC"/>
    <w:rsid w:val="00376B2D"/>
    <w:rsid w:val="00382A00"/>
    <w:rsid w:val="00387DFF"/>
    <w:rsid w:val="00390479"/>
    <w:rsid w:val="00391116"/>
    <w:rsid w:val="00393190"/>
    <w:rsid w:val="003A66E3"/>
    <w:rsid w:val="003B4BF3"/>
    <w:rsid w:val="003B7263"/>
    <w:rsid w:val="003C29CB"/>
    <w:rsid w:val="003D2674"/>
    <w:rsid w:val="003D31A8"/>
    <w:rsid w:val="003E4018"/>
    <w:rsid w:val="003E486B"/>
    <w:rsid w:val="003F181F"/>
    <w:rsid w:val="003F2755"/>
    <w:rsid w:val="00400BAF"/>
    <w:rsid w:val="004064D6"/>
    <w:rsid w:val="00411444"/>
    <w:rsid w:val="004149BB"/>
    <w:rsid w:val="00415188"/>
    <w:rsid w:val="00422121"/>
    <w:rsid w:val="0043178A"/>
    <w:rsid w:val="00436A3B"/>
    <w:rsid w:val="00446E69"/>
    <w:rsid w:val="004521CD"/>
    <w:rsid w:val="00452775"/>
    <w:rsid w:val="004772D1"/>
    <w:rsid w:val="00477DE3"/>
    <w:rsid w:val="00490249"/>
    <w:rsid w:val="00491D27"/>
    <w:rsid w:val="00496A1A"/>
    <w:rsid w:val="004A6AE1"/>
    <w:rsid w:val="004A6D7B"/>
    <w:rsid w:val="004A778F"/>
    <w:rsid w:val="004A7BAA"/>
    <w:rsid w:val="004C12E3"/>
    <w:rsid w:val="004C38AA"/>
    <w:rsid w:val="004C773D"/>
    <w:rsid w:val="004D546A"/>
    <w:rsid w:val="004D706D"/>
    <w:rsid w:val="00501CCF"/>
    <w:rsid w:val="00507C00"/>
    <w:rsid w:val="0051191C"/>
    <w:rsid w:val="005126C6"/>
    <w:rsid w:val="00512C48"/>
    <w:rsid w:val="00513907"/>
    <w:rsid w:val="0051401C"/>
    <w:rsid w:val="00526C6C"/>
    <w:rsid w:val="00533489"/>
    <w:rsid w:val="005353B6"/>
    <w:rsid w:val="00544309"/>
    <w:rsid w:val="00547AC3"/>
    <w:rsid w:val="00551959"/>
    <w:rsid w:val="00551B44"/>
    <w:rsid w:val="00570B9D"/>
    <w:rsid w:val="00575AB0"/>
    <w:rsid w:val="005807A4"/>
    <w:rsid w:val="005974AD"/>
    <w:rsid w:val="005A4CC1"/>
    <w:rsid w:val="005B432A"/>
    <w:rsid w:val="005B6611"/>
    <w:rsid w:val="005B7989"/>
    <w:rsid w:val="005D3DB9"/>
    <w:rsid w:val="005D556C"/>
    <w:rsid w:val="005E249E"/>
    <w:rsid w:val="00603BDC"/>
    <w:rsid w:val="00607F29"/>
    <w:rsid w:val="006163D3"/>
    <w:rsid w:val="00616C57"/>
    <w:rsid w:val="006218F7"/>
    <w:rsid w:val="0062799D"/>
    <w:rsid w:val="00635CAD"/>
    <w:rsid w:val="0064001A"/>
    <w:rsid w:val="00641177"/>
    <w:rsid w:val="00644E49"/>
    <w:rsid w:val="00645A96"/>
    <w:rsid w:val="00654839"/>
    <w:rsid w:val="00681536"/>
    <w:rsid w:val="006820A4"/>
    <w:rsid w:val="00683183"/>
    <w:rsid w:val="00683FB2"/>
    <w:rsid w:val="006858F2"/>
    <w:rsid w:val="00690A1C"/>
    <w:rsid w:val="00691C8F"/>
    <w:rsid w:val="006A19A9"/>
    <w:rsid w:val="006A55AB"/>
    <w:rsid w:val="006B52CC"/>
    <w:rsid w:val="006C56AE"/>
    <w:rsid w:val="006C7B17"/>
    <w:rsid w:val="006D289D"/>
    <w:rsid w:val="006D56A8"/>
    <w:rsid w:val="006D59FF"/>
    <w:rsid w:val="006E42A2"/>
    <w:rsid w:val="006F242F"/>
    <w:rsid w:val="006F3EFA"/>
    <w:rsid w:val="006F5564"/>
    <w:rsid w:val="006F686C"/>
    <w:rsid w:val="006F6DA3"/>
    <w:rsid w:val="006F7244"/>
    <w:rsid w:val="006F7E2B"/>
    <w:rsid w:val="00701BBC"/>
    <w:rsid w:val="00702B22"/>
    <w:rsid w:val="007124AE"/>
    <w:rsid w:val="00713669"/>
    <w:rsid w:val="00720A5C"/>
    <w:rsid w:val="0073445E"/>
    <w:rsid w:val="007373D0"/>
    <w:rsid w:val="007520A8"/>
    <w:rsid w:val="00753BD1"/>
    <w:rsid w:val="00755B67"/>
    <w:rsid w:val="00755D98"/>
    <w:rsid w:val="00766D5F"/>
    <w:rsid w:val="00777180"/>
    <w:rsid w:val="00780B1E"/>
    <w:rsid w:val="0079106E"/>
    <w:rsid w:val="00791177"/>
    <w:rsid w:val="00795B2D"/>
    <w:rsid w:val="007A33F4"/>
    <w:rsid w:val="007A4806"/>
    <w:rsid w:val="007B0A6C"/>
    <w:rsid w:val="007B18F1"/>
    <w:rsid w:val="007B1C7B"/>
    <w:rsid w:val="007C1305"/>
    <w:rsid w:val="007D21BA"/>
    <w:rsid w:val="007D299E"/>
    <w:rsid w:val="007D33FC"/>
    <w:rsid w:val="007E16F6"/>
    <w:rsid w:val="007F77E4"/>
    <w:rsid w:val="008022C9"/>
    <w:rsid w:val="0081093A"/>
    <w:rsid w:val="00811292"/>
    <w:rsid w:val="00812AA6"/>
    <w:rsid w:val="00815177"/>
    <w:rsid w:val="00841EAC"/>
    <w:rsid w:val="008479A7"/>
    <w:rsid w:val="0087475C"/>
    <w:rsid w:val="008769F8"/>
    <w:rsid w:val="00883CC3"/>
    <w:rsid w:val="008902B5"/>
    <w:rsid w:val="008A03C2"/>
    <w:rsid w:val="008A264D"/>
    <w:rsid w:val="008B4125"/>
    <w:rsid w:val="008B7079"/>
    <w:rsid w:val="008C03F3"/>
    <w:rsid w:val="008C17FC"/>
    <w:rsid w:val="008D4181"/>
    <w:rsid w:val="008D4255"/>
    <w:rsid w:val="008E1547"/>
    <w:rsid w:val="008F021F"/>
    <w:rsid w:val="008F0451"/>
    <w:rsid w:val="008F7917"/>
    <w:rsid w:val="009059B9"/>
    <w:rsid w:val="009200BD"/>
    <w:rsid w:val="009227E9"/>
    <w:rsid w:val="009229A1"/>
    <w:rsid w:val="00925613"/>
    <w:rsid w:val="00930073"/>
    <w:rsid w:val="00930964"/>
    <w:rsid w:val="009343AE"/>
    <w:rsid w:val="00937BF0"/>
    <w:rsid w:val="00944022"/>
    <w:rsid w:val="00966EDE"/>
    <w:rsid w:val="00975D1C"/>
    <w:rsid w:val="00975DA5"/>
    <w:rsid w:val="00976B9F"/>
    <w:rsid w:val="009831B9"/>
    <w:rsid w:val="00983C58"/>
    <w:rsid w:val="00995666"/>
    <w:rsid w:val="009A4E99"/>
    <w:rsid w:val="009B1363"/>
    <w:rsid w:val="009B1C2B"/>
    <w:rsid w:val="009D5721"/>
    <w:rsid w:val="009E6A3E"/>
    <w:rsid w:val="009F2CE2"/>
    <w:rsid w:val="00A069C7"/>
    <w:rsid w:val="00A071D0"/>
    <w:rsid w:val="00A11CC1"/>
    <w:rsid w:val="00A13ECB"/>
    <w:rsid w:val="00A14B58"/>
    <w:rsid w:val="00A215DD"/>
    <w:rsid w:val="00A2302D"/>
    <w:rsid w:val="00A30B3F"/>
    <w:rsid w:val="00A356C9"/>
    <w:rsid w:val="00A364FF"/>
    <w:rsid w:val="00A37E8F"/>
    <w:rsid w:val="00A55FC9"/>
    <w:rsid w:val="00A61092"/>
    <w:rsid w:val="00A7175E"/>
    <w:rsid w:val="00A720DC"/>
    <w:rsid w:val="00A77DC0"/>
    <w:rsid w:val="00A84CB1"/>
    <w:rsid w:val="00A94688"/>
    <w:rsid w:val="00AA1E1A"/>
    <w:rsid w:val="00AA23E6"/>
    <w:rsid w:val="00AA3AEC"/>
    <w:rsid w:val="00AC28E9"/>
    <w:rsid w:val="00AE111D"/>
    <w:rsid w:val="00AF1005"/>
    <w:rsid w:val="00AF19AA"/>
    <w:rsid w:val="00AF3729"/>
    <w:rsid w:val="00B02613"/>
    <w:rsid w:val="00B0701A"/>
    <w:rsid w:val="00B07C4C"/>
    <w:rsid w:val="00B10D48"/>
    <w:rsid w:val="00B203AD"/>
    <w:rsid w:val="00B27F06"/>
    <w:rsid w:val="00B32C7B"/>
    <w:rsid w:val="00B42B20"/>
    <w:rsid w:val="00B64E9A"/>
    <w:rsid w:val="00B66A6A"/>
    <w:rsid w:val="00BA0867"/>
    <w:rsid w:val="00BA2F10"/>
    <w:rsid w:val="00BA5CBF"/>
    <w:rsid w:val="00BA7267"/>
    <w:rsid w:val="00BB430A"/>
    <w:rsid w:val="00BC34B7"/>
    <w:rsid w:val="00BC7633"/>
    <w:rsid w:val="00BD2E7A"/>
    <w:rsid w:val="00BE018E"/>
    <w:rsid w:val="00BE2F8B"/>
    <w:rsid w:val="00BE4FF9"/>
    <w:rsid w:val="00BE7C65"/>
    <w:rsid w:val="00BF0076"/>
    <w:rsid w:val="00BF4EC3"/>
    <w:rsid w:val="00BF5BA5"/>
    <w:rsid w:val="00BF7166"/>
    <w:rsid w:val="00C21FDE"/>
    <w:rsid w:val="00C30D72"/>
    <w:rsid w:val="00C339C6"/>
    <w:rsid w:val="00C34519"/>
    <w:rsid w:val="00C37B03"/>
    <w:rsid w:val="00C57172"/>
    <w:rsid w:val="00C5736F"/>
    <w:rsid w:val="00C7381A"/>
    <w:rsid w:val="00C774D5"/>
    <w:rsid w:val="00C82660"/>
    <w:rsid w:val="00C84133"/>
    <w:rsid w:val="00C91B79"/>
    <w:rsid w:val="00C91DD4"/>
    <w:rsid w:val="00CA05AE"/>
    <w:rsid w:val="00CA45E6"/>
    <w:rsid w:val="00CA73B0"/>
    <w:rsid w:val="00CB0752"/>
    <w:rsid w:val="00CB4590"/>
    <w:rsid w:val="00CD076D"/>
    <w:rsid w:val="00CD6FD0"/>
    <w:rsid w:val="00CE0F93"/>
    <w:rsid w:val="00CE1D77"/>
    <w:rsid w:val="00CE3514"/>
    <w:rsid w:val="00D121BD"/>
    <w:rsid w:val="00D15783"/>
    <w:rsid w:val="00D321CB"/>
    <w:rsid w:val="00D32275"/>
    <w:rsid w:val="00D34BFF"/>
    <w:rsid w:val="00D36CE5"/>
    <w:rsid w:val="00D45E2C"/>
    <w:rsid w:val="00D539AF"/>
    <w:rsid w:val="00D5786D"/>
    <w:rsid w:val="00D64053"/>
    <w:rsid w:val="00D73213"/>
    <w:rsid w:val="00D930F6"/>
    <w:rsid w:val="00D93A2A"/>
    <w:rsid w:val="00D9546E"/>
    <w:rsid w:val="00DA0B73"/>
    <w:rsid w:val="00DA3318"/>
    <w:rsid w:val="00DC6F62"/>
    <w:rsid w:val="00E07EE9"/>
    <w:rsid w:val="00E216C7"/>
    <w:rsid w:val="00E35087"/>
    <w:rsid w:val="00E433EB"/>
    <w:rsid w:val="00E52123"/>
    <w:rsid w:val="00E63D1B"/>
    <w:rsid w:val="00E746BC"/>
    <w:rsid w:val="00E97AEC"/>
    <w:rsid w:val="00EA0EBB"/>
    <w:rsid w:val="00EB2574"/>
    <w:rsid w:val="00EB28D8"/>
    <w:rsid w:val="00EB2BB9"/>
    <w:rsid w:val="00EB6ECA"/>
    <w:rsid w:val="00EE2F24"/>
    <w:rsid w:val="00EF7093"/>
    <w:rsid w:val="00F0270E"/>
    <w:rsid w:val="00F0336C"/>
    <w:rsid w:val="00F05811"/>
    <w:rsid w:val="00F258DE"/>
    <w:rsid w:val="00F369AE"/>
    <w:rsid w:val="00F44BF0"/>
    <w:rsid w:val="00F47018"/>
    <w:rsid w:val="00F511CD"/>
    <w:rsid w:val="00F6033F"/>
    <w:rsid w:val="00F635B1"/>
    <w:rsid w:val="00F675C8"/>
    <w:rsid w:val="00F74459"/>
    <w:rsid w:val="00F915AC"/>
    <w:rsid w:val="00F955C6"/>
    <w:rsid w:val="00FA13E9"/>
    <w:rsid w:val="00FA57C8"/>
    <w:rsid w:val="00FB77C3"/>
    <w:rsid w:val="00FC0349"/>
    <w:rsid w:val="00FC20C7"/>
    <w:rsid w:val="00FC5FE2"/>
    <w:rsid w:val="00FD07B4"/>
    <w:rsid w:val="00FD137E"/>
    <w:rsid w:val="00FD22AC"/>
    <w:rsid w:val="00FD2A7E"/>
    <w:rsid w:val="00FD5A57"/>
    <w:rsid w:val="00FE1C90"/>
    <w:rsid w:val="00FE5E81"/>
    <w:rsid w:val="00FE692B"/>
    <w:rsid w:val="04005802"/>
    <w:rsid w:val="053A4B78"/>
    <w:rsid w:val="06F481AE"/>
    <w:rsid w:val="085B365F"/>
    <w:rsid w:val="0EBC6829"/>
    <w:rsid w:val="11060FD7"/>
    <w:rsid w:val="122A3402"/>
    <w:rsid w:val="145FFFC3"/>
    <w:rsid w:val="1CC852BA"/>
    <w:rsid w:val="1EAE52F6"/>
    <w:rsid w:val="204CC214"/>
    <w:rsid w:val="25A15B76"/>
    <w:rsid w:val="28918553"/>
    <w:rsid w:val="2BD1C3DD"/>
    <w:rsid w:val="2D51B177"/>
    <w:rsid w:val="3778AE66"/>
    <w:rsid w:val="3873E26A"/>
    <w:rsid w:val="3CF80077"/>
    <w:rsid w:val="3DBE697E"/>
    <w:rsid w:val="40D557F2"/>
    <w:rsid w:val="454EA487"/>
    <w:rsid w:val="46A640EF"/>
    <w:rsid w:val="4E5EA819"/>
    <w:rsid w:val="5316820E"/>
    <w:rsid w:val="550F7EAD"/>
    <w:rsid w:val="56E8A406"/>
    <w:rsid w:val="5A7311FF"/>
    <w:rsid w:val="5E3BBEC8"/>
    <w:rsid w:val="6258D40D"/>
    <w:rsid w:val="62FF442C"/>
    <w:rsid w:val="63C059F4"/>
    <w:rsid w:val="6409DC91"/>
    <w:rsid w:val="66CE4C7C"/>
    <w:rsid w:val="6784BF91"/>
    <w:rsid w:val="69509720"/>
    <w:rsid w:val="6A235F1E"/>
    <w:rsid w:val="6EEF8AE2"/>
    <w:rsid w:val="7107FD81"/>
    <w:rsid w:val="718AA83D"/>
    <w:rsid w:val="71E9E54C"/>
    <w:rsid w:val="7631223D"/>
    <w:rsid w:val="7951FB39"/>
    <w:rsid w:val="7B55B60C"/>
    <w:rsid w:val="7DA57851"/>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FCEF3D0"/>
  <w15:chartTrackingRefBased/>
  <w15:docId w15:val="{AF73B5BE-1AB8-4A64-B9E2-478C7E7A6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A45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4A77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A45E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00B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200BD"/>
    <w:rPr>
      <w:b/>
      <w:bCs/>
    </w:rPr>
  </w:style>
  <w:style w:type="character" w:customStyle="1" w:styleId="Heading1Char">
    <w:name w:val="Heading 1 Char"/>
    <w:basedOn w:val="DefaultParagraphFont"/>
    <w:link w:val="Heading1"/>
    <w:uiPriority w:val="9"/>
    <w:rsid w:val="00CA45E6"/>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CA45E6"/>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CA45E6"/>
    <w:rPr>
      <w:i/>
      <w:iCs/>
    </w:rPr>
  </w:style>
  <w:style w:type="paragraph" w:styleId="Header">
    <w:name w:val="header"/>
    <w:basedOn w:val="Normal"/>
    <w:link w:val="HeaderChar"/>
    <w:uiPriority w:val="99"/>
    <w:unhideWhenUsed/>
    <w:rsid w:val="003726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645"/>
  </w:style>
  <w:style w:type="paragraph" w:styleId="Footer">
    <w:name w:val="footer"/>
    <w:basedOn w:val="Normal"/>
    <w:link w:val="FooterChar"/>
    <w:uiPriority w:val="99"/>
    <w:unhideWhenUsed/>
    <w:rsid w:val="003726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645"/>
  </w:style>
  <w:style w:type="paragraph" w:styleId="Revision">
    <w:name w:val="Revision"/>
    <w:hidden/>
    <w:uiPriority w:val="99"/>
    <w:semiHidden/>
    <w:rsid w:val="001F7C64"/>
    <w:pPr>
      <w:spacing w:after="0" w:line="240" w:lineRule="auto"/>
    </w:pPr>
  </w:style>
  <w:style w:type="character" w:customStyle="1" w:styleId="Heading2Char">
    <w:name w:val="Heading 2 Char"/>
    <w:basedOn w:val="DefaultParagraphFont"/>
    <w:link w:val="Heading2"/>
    <w:uiPriority w:val="9"/>
    <w:semiHidden/>
    <w:rsid w:val="004A778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9E6A3E"/>
    <w:rPr>
      <w:sz w:val="16"/>
      <w:szCs w:val="16"/>
    </w:rPr>
  </w:style>
  <w:style w:type="paragraph" w:styleId="CommentText">
    <w:name w:val="annotation text"/>
    <w:basedOn w:val="Normal"/>
    <w:link w:val="CommentTextChar"/>
    <w:uiPriority w:val="99"/>
    <w:unhideWhenUsed/>
    <w:rsid w:val="009E6A3E"/>
    <w:pPr>
      <w:spacing w:line="240" w:lineRule="auto"/>
    </w:pPr>
    <w:rPr>
      <w:sz w:val="20"/>
      <w:szCs w:val="20"/>
    </w:rPr>
  </w:style>
  <w:style w:type="character" w:customStyle="1" w:styleId="CommentTextChar">
    <w:name w:val="Comment Text Char"/>
    <w:basedOn w:val="DefaultParagraphFont"/>
    <w:link w:val="CommentText"/>
    <w:uiPriority w:val="99"/>
    <w:rsid w:val="009E6A3E"/>
    <w:rPr>
      <w:sz w:val="20"/>
      <w:szCs w:val="20"/>
    </w:rPr>
  </w:style>
  <w:style w:type="paragraph" w:styleId="CommentSubject">
    <w:name w:val="annotation subject"/>
    <w:basedOn w:val="CommentText"/>
    <w:next w:val="CommentText"/>
    <w:link w:val="CommentSubjectChar"/>
    <w:uiPriority w:val="99"/>
    <w:semiHidden/>
    <w:unhideWhenUsed/>
    <w:rsid w:val="009E6A3E"/>
    <w:rPr>
      <w:b/>
      <w:bCs/>
    </w:rPr>
  </w:style>
  <w:style w:type="character" w:customStyle="1" w:styleId="CommentSubjectChar">
    <w:name w:val="Comment Subject Char"/>
    <w:basedOn w:val="CommentTextChar"/>
    <w:link w:val="CommentSubject"/>
    <w:uiPriority w:val="99"/>
    <w:semiHidden/>
    <w:rsid w:val="009E6A3E"/>
    <w:rPr>
      <w:b/>
      <w:bCs/>
      <w:sz w:val="20"/>
      <w:szCs w:val="20"/>
    </w:rPr>
  </w:style>
  <w:style w:type="character" w:styleId="Hyperlink">
    <w:name w:val="Hyperlink"/>
    <w:basedOn w:val="DefaultParagraphFont"/>
    <w:uiPriority w:val="99"/>
    <w:unhideWhenUsed/>
    <w:rsid w:val="000C5A73"/>
    <w:rPr>
      <w:color w:val="0563C1" w:themeColor="hyperlink"/>
      <w:u w:val="single"/>
    </w:rPr>
  </w:style>
  <w:style w:type="character" w:styleId="UnresolvedMention">
    <w:name w:val="Unresolved Mention"/>
    <w:basedOn w:val="DefaultParagraphFont"/>
    <w:uiPriority w:val="99"/>
    <w:semiHidden/>
    <w:unhideWhenUsed/>
    <w:rsid w:val="000C5A73"/>
    <w:rPr>
      <w:color w:val="605E5C"/>
      <w:shd w:val="clear" w:color="auto" w:fill="E1DFDD"/>
    </w:rPr>
  </w:style>
  <w:style w:type="paragraph" w:customStyle="1" w:styleId="isselectedend">
    <w:name w:val="isselectedend"/>
    <w:basedOn w:val="Normal"/>
    <w:rsid w:val="003D31A8"/>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29777">
      <w:bodyDiv w:val="1"/>
      <w:marLeft w:val="0"/>
      <w:marRight w:val="0"/>
      <w:marTop w:val="0"/>
      <w:marBottom w:val="0"/>
      <w:divBdr>
        <w:top w:val="none" w:sz="0" w:space="0" w:color="auto"/>
        <w:left w:val="none" w:sz="0" w:space="0" w:color="auto"/>
        <w:bottom w:val="none" w:sz="0" w:space="0" w:color="auto"/>
        <w:right w:val="none" w:sz="0" w:space="0" w:color="auto"/>
      </w:divBdr>
    </w:div>
    <w:div w:id="985940868">
      <w:bodyDiv w:val="1"/>
      <w:marLeft w:val="0"/>
      <w:marRight w:val="0"/>
      <w:marTop w:val="0"/>
      <w:marBottom w:val="0"/>
      <w:divBdr>
        <w:top w:val="none" w:sz="0" w:space="0" w:color="auto"/>
        <w:left w:val="none" w:sz="0" w:space="0" w:color="auto"/>
        <w:bottom w:val="none" w:sz="0" w:space="0" w:color="auto"/>
        <w:right w:val="none" w:sz="0" w:space="0" w:color="auto"/>
      </w:divBdr>
    </w:div>
    <w:div w:id="1082096123">
      <w:bodyDiv w:val="1"/>
      <w:marLeft w:val="0"/>
      <w:marRight w:val="0"/>
      <w:marTop w:val="0"/>
      <w:marBottom w:val="0"/>
      <w:divBdr>
        <w:top w:val="none" w:sz="0" w:space="0" w:color="auto"/>
        <w:left w:val="none" w:sz="0" w:space="0" w:color="auto"/>
        <w:bottom w:val="none" w:sz="0" w:space="0" w:color="auto"/>
        <w:right w:val="none" w:sz="0" w:space="0" w:color="auto"/>
      </w:divBdr>
    </w:div>
    <w:div w:id="1145244873">
      <w:bodyDiv w:val="1"/>
      <w:marLeft w:val="0"/>
      <w:marRight w:val="0"/>
      <w:marTop w:val="0"/>
      <w:marBottom w:val="0"/>
      <w:divBdr>
        <w:top w:val="none" w:sz="0" w:space="0" w:color="auto"/>
        <w:left w:val="none" w:sz="0" w:space="0" w:color="auto"/>
        <w:bottom w:val="none" w:sz="0" w:space="0" w:color="auto"/>
        <w:right w:val="none" w:sz="0" w:space="0" w:color="auto"/>
      </w:divBdr>
    </w:div>
    <w:div w:id="1447892918">
      <w:bodyDiv w:val="1"/>
      <w:marLeft w:val="0"/>
      <w:marRight w:val="0"/>
      <w:marTop w:val="0"/>
      <w:marBottom w:val="0"/>
      <w:divBdr>
        <w:top w:val="none" w:sz="0" w:space="0" w:color="auto"/>
        <w:left w:val="none" w:sz="0" w:space="0" w:color="auto"/>
        <w:bottom w:val="none" w:sz="0" w:space="0" w:color="auto"/>
        <w:right w:val="none" w:sz="0" w:space="0" w:color="auto"/>
      </w:divBdr>
    </w:div>
    <w:div w:id="192710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c0d476-a8a2-42a3-858f-585f04e963fe}" enabled="1" method="Standard" siteId="{0532e3ca-5510-49ca-a1ec-37a28a1a9c5a}" removed="0"/>
</clbl:labelList>
</file>

<file path=docProps/app.xml><?xml version="1.0" encoding="utf-8"?>
<Properties xmlns="http://schemas.openxmlformats.org/officeDocument/2006/extended-properties" xmlns:vt="http://schemas.openxmlformats.org/officeDocument/2006/docPropsVTypes">
  <Template>WatermarkTemplate</Template>
  <TotalTime>1</TotalTime>
  <Pages>2</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Mohit  Sharma</dc:creator>
  <cp:keywords/>
  <dc:description/>
  <cp:lastModifiedBy>Mohit  Sharma</cp:lastModifiedBy>
  <cp:revision>2</cp:revision>
  <cp:lastPrinted>2026-08-13T08:04:00Z</cp:lastPrinted>
  <dcterms:created xsi:type="dcterms:W3CDTF">2026-08-18T05:35:00Z</dcterms:created>
  <dcterms:modified xsi:type="dcterms:W3CDTF">2026-08-18T05:35:00Z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66cdb1-1e3f-4bcc-ade7-f28493286b94_Enabled">
    <vt:lpwstr>true</vt:lpwstr>
  </property>
  <property fmtid="{D5CDD505-2E9C-101B-9397-08002B2CF9AE}" pid="3" name="MSIP_Label_0f66cdb1-1e3f-4bcc-ade7-f28493286b94_SetDate">
    <vt:lpwstr>2026-06-04T11:05:24Z</vt:lpwstr>
  </property>
  <property fmtid="{D5CDD505-2E9C-101B-9397-08002B2CF9AE}" pid="4" name="MSIP_Label_0f66cdb1-1e3f-4bcc-ade7-f28493286b94_Method">
    <vt:lpwstr>Standard</vt:lpwstr>
  </property>
  <property fmtid="{D5CDD505-2E9C-101B-9397-08002B2CF9AE}" pid="5" name="MSIP_Label_0f66cdb1-1e3f-4bcc-ade7-f28493286b94_Name">
    <vt:lpwstr>Confidential (IBD-GCM)</vt:lpwstr>
  </property>
  <property fmtid="{D5CDD505-2E9C-101B-9397-08002B2CF9AE}" pid="6" name="MSIP_Label_0f66cdb1-1e3f-4bcc-ade7-f28493286b94_SiteId">
    <vt:lpwstr>e29b8111-49f8-418d-ac2a-935335a52614</vt:lpwstr>
  </property>
  <property fmtid="{D5CDD505-2E9C-101B-9397-08002B2CF9AE}" pid="7" name="MSIP_Label_0f66cdb1-1e3f-4bcc-ade7-f28493286b94_ActionId">
    <vt:lpwstr>5ee00425-feaf-4ce7-89ec-8e3700c83629</vt:lpwstr>
  </property>
  <property fmtid="{D5CDD505-2E9C-101B-9397-08002B2CF9AE}" pid="8" name="MSIP_Label_0f66cdb1-1e3f-4bcc-ade7-f28493286b94_ContentBits">
    <vt:lpwstr>0</vt:lpwstr>
  </property>
  <property fmtid="{D5CDD505-2E9C-101B-9397-08002B2CF9AE}" pid="9" name="MSIP_Label_0f66cdb1-1e3f-4bcc-ade7-f28493286b94_Tag">
    <vt:lpwstr>10, 3, 0, 1</vt:lpwstr>
  </property>
</Properties>
</file>